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0BA3" w14:textId="77777777" w:rsidR="00DF405F" w:rsidRPr="00755744" w:rsidRDefault="00DF405F" w:rsidP="00DF405F">
      <w:pPr>
        <w:tabs>
          <w:tab w:val="right" w:pos="1080"/>
        </w:tabs>
        <w:ind w:left="-44" w:firstLine="44"/>
        <w:rPr>
          <w:rtl/>
        </w:rPr>
      </w:pPr>
      <w:r w:rsidRPr="00755744">
        <w:rPr>
          <w:b/>
          <w:bCs/>
          <w:u w:val="single"/>
          <w:rtl/>
        </w:rPr>
        <w:t>09015</w:t>
      </w:r>
      <w:r>
        <w:rPr>
          <w:rFonts w:hint="cs"/>
          <w:b/>
          <w:bCs/>
          <w:u w:val="single"/>
          <w:rtl/>
        </w:rPr>
        <w:t>22</w:t>
      </w:r>
      <w:r w:rsidRPr="000A1AFB">
        <w:rPr>
          <w:rFonts w:hint="cs"/>
          <w:b/>
          <w:bCs/>
          <w:rtl/>
        </w:rPr>
        <w:t xml:space="preserve">  </w:t>
      </w:r>
      <w:r w:rsidRPr="00755744">
        <w:rPr>
          <w:b/>
          <w:bCs/>
          <w:u w:val="single"/>
          <w:rtl/>
        </w:rPr>
        <w:t>الأساسات على التربة المنتفخة  ( ثلاث ساعات معتمدة)</w:t>
      </w:r>
    </w:p>
    <w:p w14:paraId="46AA398A" w14:textId="77777777" w:rsidR="00DF405F" w:rsidRPr="00755744" w:rsidRDefault="00DF405F" w:rsidP="00DF405F">
      <w:pPr>
        <w:pStyle w:val="BlockText"/>
        <w:tabs>
          <w:tab w:val="right" w:pos="1080"/>
        </w:tabs>
        <w:ind w:left="1080" w:firstLine="0"/>
        <w:jc w:val="both"/>
        <w:rPr>
          <w:rFonts w:cs="Times New Roman"/>
          <w:szCs w:val="24"/>
          <w:rtl/>
        </w:rPr>
      </w:pPr>
      <w:r w:rsidRPr="00755744">
        <w:rPr>
          <w:rFonts w:cs="Times New Roman"/>
          <w:szCs w:val="24"/>
          <w:rtl/>
        </w:rPr>
        <w:t>مشكلة التربة المنتفخة، مشكلة التربة المنتفخة في الأردن، معادن التربة، تصنيف التربة المنتفخة، المحتوى المائي المتعادل في التربة، حسابات الإنتفاخ، انكماش التربة وتأثير الأشجار، تقييم الأساسات على التربة المنتفخة، الأساسات الشريطية وأساسات ألحصيره المدعمة، الركائز، تثبيت التربة المنتفخة، أساليب البناء والمعاينة.</w:t>
      </w:r>
    </w:p>
    <w:p w14:paraId="0B6E4E5C" w14:textId="77777777" w:rsidR="00DF405F" w:rsidRPr="00755744" w:rsidRDefault="00DF405F" w:rsidP="00DF405F">
      <w:pPr>
        <w:tabs>
          <w:tab w:val="right" w:pos="1080"/>
        </w:tabs>
        <w:ind w:left="1080"/>
      </w:pPr>
      <w:r w:rsidRPr="00755744">
        <w:rPr>
          <w:u w:val="single"/>
          <w:rtl/>
        </w:rPr>
        <w:t>المتطلب السابق</w:t>
      </w:r>
      <w:r>
        <w:rPr>
          <w:rFonts w:hint="cs"/>
          <w:u w:val="single"/>
          <w:rtl/>
        </w:rPr>
        <w:t>0901412</w:t>
      </w:r>
    </w:p>
    <w:p w14:paraId="4C6BE9F5" w14:textId="77777777" w:rsidR="00DF405F" w:rsidRDefault="00DF405F">
      <w:bookmarkStart w:id="0" w:name="_GoBack"/>
      <w:bookmarkEnd w:id="0"/>
    </w:p>
    <w:sectPr w:rsidR="00DF4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5F"/>
    <w:rsid w:val="00DF4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2DC7"/>
  <w15:chartTrackingRefBased/>
  <w15:docId w15:val="{D697BEA5-BB59-420A-ACCF-09AEC0BC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05F"/>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F405F"/>
    <w:pPr>
      <w:ind w:left="284" w:hanging="284"/>
      <w:jc w:val="lowKashida"/>
    </w:pPr>
    <w:rPr>
      <w:rFonts w:cs="Arabic Transparen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2018-12-30T18:11:00Z</dcterms:created>
  <dcterms:modified xsi:type="dcterms:W3CDTF">2018-12-30T18:11:00Z</dcterms:modified>
</cp:coreProperties>
</file>